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22F6A59">
            <wp:extent cx="1725509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15" cy="12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Default="00606DB1" w:rsidP="007C6D7D">
      <w:pPr>
        <w:spacing w:after="0" w:line="288" w:lineRule="auto"/>
        <w:contextualSpacing/>
        <w:jc w:val="both"/>
      </w:pPr>
    </w:p>
    <w:p w14:paraId="405F2DCF" w14:textId="04FB6E2A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2F5294" w:rsidRPr="002F5294">
        <w:t>08/2020 – Gestão Associada de Serviços Públicos na Área da Cultura na Região da AMFRI</w:t>
      </w:r>
      <w:r>
        <w:t>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 xml:space="preserve">erviços de </w:t>
      </w:r>
      <w:r w:rsidR="002F5294">
        <w:rPr>
          <w:b/>
          <w:bCs/>
        </w:rPr>
        <w:t>Produção Cultural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Default="00A358ED" w:rsidP="007C6D7D">
      <w:pPr>
        <w:spacing w:after="0" w:line="288" w:lineRule="auto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107"/>
      </w:tblGrid>
      <w:tr w:rsidR="00A358ED" w:rsidRPr="00926906" w14:paraId="5AA19CEC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ETAPAS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AÇÕES</w:t>
            </w:r>
          </w:p>
        </w:tc>
      </w:tr>
      <w:tr w:rsidR="00975B26" w:rsidRPr="00926906" w14:paraId="61D299DE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4B71F8" w14:textId="34CAA91D" w:rsidR="00975B26" w:rsidRPr="00926906" w:rsidRDefault="00975B26" w:rsidP="002F5294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w w:val="90"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1. </w:t>
            </w:r>
            <w:r w:rsidR="00114440">
              <w:rPr>
                <w:rFonts w:eastAsia="Arial" w:cstheme="minorHAnsi"/>
                <w:b/>
                <w:sz w:val="18"/>
                <w:szCs w:val="18"/>
              </w:rPr>
              <w:t>Assessoria de Planejamento e Captação de Recursos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5910A42" w14:textId="76E491C0" w:rsidR="009C1CEA" w:rsidRPr="009C1CEA" w:rsidRDefault="00114440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Assessorar os Gestores Municipais de Cultura no planejamento de ações integradas de atividades culturais;</w:t>
            </w:r>
            <w:r w:rsidR="00D80604">
              <w:rPr>
                <w:rFonts w:eastAsia="Arial" w:cstheme="minorHAnsi"/>
                <w:bCs/>
                <w:sz w:val="18"/>
                <w:szCs w:val="18"/>
              </w:rPr>
              <w:t xml:space="preserve"> e</w:t>
            </w:r>
          </w:p>
          <w:p w14:paraId="4A600CA9" w14:textId="26C0E8E7" w:rsidR="00D80604" w:rsidRPr="00D80604" w:rsidRDefault="00114440" w:rsidP="00D80604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 xml:space="preserve">Assessorar os Gestores Municipais de Cultura </w:t>
            </w:r>
            <w:r w:rsidR="00D80604">
              <w:rPr>
                <w:rFonts w:eastAsia="Arial" w:cstheme="minorHAnsi"/>
                <w:bCs/>
                <w:sz w:val="18"/>
                <w:szCs w:val="18"/>
              </w:rPr>
              <w:t>nos processos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 de captação de recursos para o desenvolvimento de atividades culturais na Região da Foz do Rio Itajaí</w:t>
            </w:r>
            <w:r w:rsidR="00D80604"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</w:tr>
      <w:tr w:rsidR="00876674" w:rsidRPr="00926906" w14:paraId="5E43A212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829A705" w14:textId="2268A090" w:rsidR="00876674" w:rsidRDefault="00876674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2.</w:t>
            </w:r>
            <w:r w:rsidR="00114440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="002F5294">
              <w:rPr>
                <w:rFonts w:eastAsia="Arial" w:cstheme="minorHAnsi"/>
                <w:b/>
                <w:sz w:val="18"/>
                <w:szCs w:val="18"/>
              </w:rPr>
              <w:t>Formação</w:t>
            </w:r>
            <w:r w:rsidR="00114440">
              <w:rPr>
                <w:rFonts w:eastAsia="Arial" w:cstheme="minorHAnsi"/>
                <w:b/>
                <w:sz w:val="18"/>
                <w:szCs w:val="18"/>
              </w:rPr>
              <w:t xml:space="preserve"> e Capacitação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0F94303" w14:textId="77777777" w:rsidR="00876674" w:rsidRPr="00182BB3" w:rsidRDefault="00876674" w:rsidP="007C6D7D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32E9CD6" w14:textId="67DA6616" w:rsidR="00876674" w:rsidRPr="00D80604" w:rsidRDefault="00D80604" w:rsidP="00A478CB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Aplicar curso de capacitação para participação / elaboração de editais e prestação de contas no âmbito da lei Aldir Blanc de Emergência Cultural;</w:t>
            </w:r>
          </w:p>
        </w:tc>
      </w:tr>
      <w:tr w:rsidR="00182BB3" w:rsidRPr="00926906" w14:paraId="471BE0CB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70E76C" w14:textId="775E3261" w:rsidR="00182BB3" w:rsidRDefault="00876674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3. </w:t>
            </w:r>
            <w:r w:rsidR="00114440">
              <w:rPr>
                <w:rFonts w:eastAsia="Arial" w:cstheme="minorHAnsi"/>
                <w:b/>
                <w:sz w:val="18"/>
                <w:szCs w:val="18"/>
              </w:rPr>
              <w:t>Realização de Estudos e Pesquisas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45ADC40" w14:textId="77777777" w:rsidR="00182BB3" w:rsidRPr="00182BB3" w:rsidRDefault="00182BB3" w:rsidP="007C6D7D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D19E0F7" w14:textId="48FDF118" w:rsidR="00876674" w:rsidRPr="00876674" w:rsidRDefault="00174249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Elaboração</w:t>
            </w:r>
            <w:r w:rsidRPr="00174249">
              <w:rPr>
                <w:rFonts w:eastAsia="Arial" w:cstheme="minorHAnsi"/>
                <w:bCs/>
                <w:sz w:val="18"/>
                <w:szCs w:val="18"/>
              </w:rPr>
              <w:t xml:space="preserve"> de planejamento 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do </w:t>
            </w:r>
            <w:r w:rsidRPr="00174249">
              <w:rPr>
                <w:rFonts w:eastAsia="Arial" w:cstheme="minorHAnsi"/>
                <w:bCs/>
                <w:sz w:val="18"/>
                <w:szCs w:val="18"/>
              </w:rPr>
              <w:t xml:space="preserve">desenvolvimento </w:t>
            </w:r>
            <w:r>
              <w:rPr>
                <w:rFonts w:eastAsia="Arial" w:cstheme="minorHAnsi"/>
                <w:bCs/>
                <w:sz w:val="18"/>
                <w:szCs w:val="18"/>
              </w:rPr>
              <w:t>cultural na região da Foz do Rio Itajaí, incluindo</w:t>
            </w:r>
            <w:r w:rsidRPr="00174249">
              <w:rPr>
                <w:rFonts w:eastAsia="Arial" w:cstheme="minorHAnsi"/>
                <w:bCs/>
                <w:sz w:val="18"/>
                <w:szCs w:val="18"/>
              </w:rPr>
              <w:t xml:space="preserve"> mecanismos conjuntos para consultas, estudos de identidade e patrimônio cultural da região</w:t>
            </w:r>
            <w:r w:rsidR="00876674" w:rsidRPr="00876674">
              <w:rPr>
                <w:rFonts w:eastAsia="Arial" w:cstheme="minorHAnsi"/>
                <w:bCs/>
                <w:sz w:val="18"/>
                <w:szCs w:val="18"/>
              </w:rPr>
              <w:t>;</w:t>
            </w:r>
            <w:r w:rsidR="00B4781B">
              <w:rPr>
                <w:rFonts w:eastAsia="Arial" w:cstheme="minorHAnsi"/>
                <w:bCs/>
                <w:sz w:val="18"/>
                <w:szCs w:val="18"/>
              </w:rPr>
              <w:t xml:space="preserve"> e</w:t>
            </w:r>
          </w:p>
          <w:p w14:paraId="156B0E9A" w14:textId="39A8D28F" w:rsidR="00182BB3" w:rsidRPr="00B4781B" w:rsidRDefault="00B4781B" w:rsidP="00B4781B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Elaborar relatório de diagnóstico que contemple a identificação de dados mensuráveis, assim como a proposição de indicadores, com o intuito de avaliar a participação das atividades ligadas a cultura na movimentação econômica dos municípios e da região.</w:t>
            </w:r>
          </w:p>
        </w:tc>
      </w:tr>
    </w:tbl>
    <w:p w14:paraId="0BE8A6E2" w14:textId="77777777" w:rsidR="007C6D7D" w:rsidRDefault="007C6D7D" w:rsidP="00B4781B">
      <w:pPr>
        <w:spacing w:after="0" w:line="288" w:lineRule="auto"/>
        <w:contextualSpacing/>
        <w:jc w:val="both"/>
      </w:pPr>
    </w:p>
    <w:p w14:paraId="352195FB" w14:textId="3C4E3977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prazo da execução dos serviços será de </w:t>
      </w:r>
      <w:r w:rsidR="00B4781B">
        <w:t>03</w:t>
      </w:r>
      <w:r>
        <w:t xml:space="preserve"> (</w:t>
      </w:r>
      <w:r w:rsidR="00B4781B">
        <w:t>três</w:t>
      </w:r>
      <w:r>
        <w:t>) meses.</w:t>
      </w:r>
    </w:p>
    <w:p w14:paraId="35DC980E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156D30E7" w14:textId="23628191" w:rsidR="007C6D7D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As propostas deverão ser encaminhadas para o e-mail: </w:t>
      </w:r>
      <w:hyperlink r:id="rId6" w:history="1">
        <w:r w:rsidR="0015210F" w:rsidRPr="002C0B89">
          <w:rPr>
            <w:rStyle w:val="Hyperlink"/>
          </w:rPr>
          <w:t>direx@cim-amfri.sc.gov.br</w:t>
        </w:r>
      </w:hyperlink>
      <w:r w:rsidR="0015210F">
        <w:t xml:space="preserve"> </w:t>
      </w:r>
      <w:r>
        <w:t xml:space="preserve">, até o dia </w:t>
      </w:r>
      <w:r w:rsidR="005719A1">
        <w:t>2</w:t>
      </w:r>
      <w:r w:rsidR="00F1205E">
        <w:t>9</w:t>
      </w:r>
      <w:r>
        <w:t>/0</w:t>
      </w:r>
      <w:r w:rsidR="005719A1">
        <w:t>9</w:t>
      </w:r>
      <w:r>
        <w:t xml:space="preserve">/2020, de acordo com modelo </w:t>
      </w:r>
      <w:r w:rsidR="007C6D7D">
        <w:t>apresentado no ANEXO I.</w:t>
      </w:r>
    </w:p>
    <w:p w14:paraId="3D2C75B1" w14:textId="77777777" w:rsidR="007C6D7D" w:rsidRDefault="007C6D7D" w:rsidP="007C6D7D">
      <w:pPr>
        <w:spacing w:after="0" w:line="288" w:lineRule="auto"/>
        <w:contextualSpacing/>
        <w:jc w:val="both"/>
      </w:pPr>
    </w:p>
    <w:p w14:paraId="32E1FB35" w14:textId="77777777" w:rsidR="007C6D7D" w:rsidRDefault="007C6D7D" w:rsidP="007C6D7D">
      <w:pPr>
        <w:spacing w:after="0" w:line="288" w:lineRule="auto"/>
        <w:contextualSpacing/>
        <w:jc w:val="right"/>
      </w:pPr>
    </w:p>
    <w:p w14:paraId="73588E92" w14:textId="1EEA5C07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F1205E">
        <w:t>22</w:t>
      </w:r>
      <w:r>
        <w:t xml:space="preserve"> de setembro de 2020.</w:t>
      </w:r>
    </w:p>
    <w:p w14:paraId="132A62AD" w14:textId="29B826C3" w:rsidR="007C6D7D" w:rsidRDefault="007C6D7D" w:rsidP="007C6D7D">
      <w:pPr>
        <w:spacing w:after="0" w:line="288" w:lineRule="auto"/>
        <w:contextualSpacing/>
        <w:jc w:val="both"/>
      </w:pPr>
    </w:p>
    <w:p w14:paraId="18B3CDA6" w14:textId="77777777" w:rsidR="00B4781B" w:rsidRDefault="00B4781B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77777777" w:rsidR="00F1205E" w:rsidRDefault="00F1205E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19327F37" w14:textId="77777777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lastRenderedPageBreak/>
        <w:t>ANEXO I – PROPOSTA DE PREÇOS</w:t>
      </w:r>
    </w:p>
    <w:p w14:paraId="41471F3F" w14:textId="77777777" w:rsidR="00682A7E" w:rsidRP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478CB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478CB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682A7E" w:rsidRPr="003C6694" w14:paraId="0EEB5B2D" w14:textId="77777777" w:rsidTr="00A478CB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2246C7F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0E8EC3D2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Relatório de assessoria em</w:t>
            </w:r>
            <w:r w:rsidRPr="00B4781B">
              <w:rPr>
                <w:rFonts w:eastAsia="Arial" w:cstheme="minorHAnsi"/>
                <w:b/>
                <w:sz w:val="18"/>
                <w:szCs w:val="18"/>
              </w:rPr>
              <w:t xml:space="preserve"> planejamento de ações integradas de atividades culturais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4AEC3161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2C92310B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15870A" w14:textId="62CEAF01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32EA8597" w14:textId="0D2E4E06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Relatório de assessoria </w:t>
            </w:r>
            <w:r w:rsidRPr="00B4781B">
              <w:rPr>
                <w:rFonts w:eastAsia="Arial" w:cstheme="minorHAnsi"/>
                <w:b/>
                <w:sz w:val="18"/>
                <w:szCs w:val="18"/>
              </w:rPr>
              <w:t>nos processos de captação de recursos para o desenvolvimento de atividades culturais na Região da Foz do Rio Itajaí.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A13CE8A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E7786D" w14:textId="63317503" w:rsidR="00682A7E" w:rsidRPr="003C6694" w:rsidRDefault="00A478C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F039D7B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18BD2DC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A478CB" w:rsidRPr="003C6694" w14:paraId="0E1539F4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DFD747" w14:textId="3548E890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2.</w:t>
            </w:r>
            <w:r w:rsidR="003C7249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0452A54D" w14:textId="29CF9703" w:rsidR="00A478CB" w:rsidRPr="002F2AB8" w:rsidRDefault="00A478CB" w:rsidP="00A478CB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urso de capacitação para participação / elaboração de editais e prestação de contas no âmbito da lei Aldir Blanc de Emergência Cultural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19C1AAA" w14:textId="46D9C2B2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CB7E598" w14:textId="2B0F012E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5EFB92F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8A0060E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A478CB" w:rsidRPr="003C6694" w14:paraId="3D370F3C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60C8A03D" w14:textId="05762C28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3.1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0BB821D3" w14:textId="4BD2BF5C" w:rsidR="00A478CB" w:rsidRPr="002F2AB8" w:rsidRDefault="00A478CB" w:rsidP="00A478CB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Relatório de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planejamento do desenvolvimento cultural na região da Foz do Rio Ita</w:t>
            </w:r>
            <w:r>
              <w:rPr>
                <w:rFonts w:eastAsia="Arial" w:cstheme="minorHAnsi"/>
                <w:b/>
                <w:sz w:val="18"/>
                <w:szCs w:val="18"/>
              </w:rPr>
              <w:t>jaí.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1F65114" w14:textId="40763231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191334C" w14:textId="11706A1B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A69CBF1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7C1B484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A478CB" w:rsidRPr="003C6694" w14:paraId="08AFC5B8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22BAD243" w14:textId="42C7AE96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3.2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74211BD2" w14:textId="0B4B7F22" w:rsidR="00A478CB" w:rsidRPr="002F2AB8" w:rsidRDefault="00A478CB" w:rsidP="00A478CB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R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elatório de diagnóstico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,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 xml:space="preserve">identificação de dados mensuráveis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e de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proposição de indicadores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5352C12" w14:textId="20A33B4B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3E86DDA" w14:textId="3126698A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6CB30B2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0C17D0BE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</w:t>
            </w:r>
            <w:proofErr w:type="gramStart"/>
            <w:r>
              <w:rPr>
                <w:rFonts w:eastAsia="Arial" w:cstheme="minorHAnsi"/>
                <w:b/>
                <w:sz w:val="18"/>
                <w:szCs w:val="18"/>
              </w:rPr>
              <w:t>XXXXXXX,XX</w:t>
            </w:r>
            <w:proofErr w:type="gramEnd"/>
            <w:r>
              <w:rPr>
                <w:rFonts w:eastAsia="Arial" w:cstheme="minorHAnsi"/>
                <w:b/>
                <w:sz w:val="18"/>
                <w:szCs w:val="18"/>
              </w:rPr>
              <w:t xml:space="preserve">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C6154C3" w14:textId="20259B83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XXXX, XX de setembro de 2020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5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A300B"/>
    <w:rsid w:val="001048AD"/>
    <w:rsid w:val="00114440"/>
    <w:rsid w:val="0015210F"/>
    <w:rsid w:val="00163764"/>
    <w:rsid w:val="00174249"/>
    <w:rsid w:val="00182BB3"/>
    <w:rsid w:val="002335BC"/>
    <w:rsid w:val="002F5294"/>
    <w:rsid w:val="003C6694"/>
    <w:rsid w:val="003C7249"/>
    <w:rsid w:val="003F3952"/>
    <w:rsid w:val="00475774"/>
    <w:rsid w:val="004B6E73"/>
    <w:rsid w:val="00555139"/>
    <w:rsid w:val="005719A1"/>
    <w:rsid w:val="00606DB1"/>
    <w:rsid w:val="00627CD5"/>
    <w:rsid w:val="00630750"/>
    <w:rsid w:val="00644441"/>
    <w:rsid w:val="00682A7E"/>
    <w:rsid w:val="006A0942"/>
    <w:rsid w:val="006B074D"/>
    <w:rsid w:val="00706901"/>
    <w:rsid w:val="007A15A7"/>
    <w:rsid w:val="007C6D7D"/>
    <w:rsid w:val="00810A4C"/>
    <w:rsid w:val="00827555"/>
    <w:rsid w:val="00876674"/>
    <w:rsid w:val="00926906"/>
    <w:rsid w:val="00975B26"/>
    <w:rsid w:val="009C1CEA"/>
    <w:rsid w:val="009D22C6"/>
    <w:rsid w:val="00A358ED"/>
    <w:rsid w:val="00A455DE"/>
    <w:rsid w:val="00A478CB"/>
    <w:rsid w:val="00A70C7D"/>
    <w:rsid w:val="00A74951"/>
    <w:rsid w:val="00AB7B5B"/>
    <w:rsid w:val="00AC59F9"/>
    <w:rsid w:val="00AE5A5D"/>
    <w:rsid w:val="00AF0CCF"/>
    <w:rsid w:val="00B4781B"/>
    <w:rsid w:val="00B735FC"/>
    <w:rsid w:val="00B90144"/>
    <w:rsid w:val="00CA6825"/>
    <w:rsid w:val="00D80604"/>
    <w:rsid w:val="00DB12E0"/>
    <w:rsid w:val="00DC3D0C"/>
    <w:rsid w:val="00E810BA"/>
    <w:rsid w:val="00F1205E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x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7</cp:revision>
  <cp:lastPrinted>2020-09-14T13:32:00Z</cp:lastPrinted>
  <dcterms:created xsi:type="dcterms:W3CDTF">2020-09-15T16:31:00Z</dcterms:created>
  <dcterms:modified xsi:type="dcterms:W3CDTF">2020-09-22T18:04:00Z</dcterms:modified>
</cp:coreProperties>
</file>