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22F6A59">
            <wp:extent cx="1725509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15" cy="12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Default="00606DB1" w:rsidP="007C6D7D">
      <w:pPr>
        <w:spacing w:after="0" w:line="288" w:lineRule="auto"/>
        <w:contextualSpacing/>
        <w:jc w:val="both"/>
      </w:pPr>
    </w:p>
    <w:p w14:paraId="405F2DCF" w14:textId="60C8E8CB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01/2020 – Manutenção das Atividades do consórcio, vem pelo presente comunicar aos interessados que está recebendo propostas para “</w:t>
      </w:r>
      <w:r w:rsidRPr="00810A4C">
        <w:rPr>
          <w:b/>
          <w:bCs/>
        </w:rPr>
        <w:t xml:space="preserve">Cotação Prévia de Preços para </w:t>
      </w:r>
      <w:r>
        <w:rPr>
          <w:b/>
          <w:bCs/>
        </w:rPr>
        <w:t>P</w:t>
      </w:r>
      <w:r w:rsidRPr="00810A4C">
        <w:rPr>
          <w:b/>
          <w:bCs/>
        </w:rPr>
        <w:t xml:space="preserve">restação de </w:t>
      </w:r>
      <w:r>
        <w:rPr>
          <w:b/>
          <w:bCs/>
        </w:rPr>
        <w:t>S</w:t>
      </w:r>
      <w:r w:rsidRPr="00810A4C">
        <w:rPr>
          <w:b/>
          <w:bCs/>
        </w:rPr>
        <w:t xml:space="preserve">erviços de </w:t>
      </w:r>
      <w:r w:rsidRPr="00B90144">
        <w:rPr>
          <w:b/>
          <w:bCs/>
        </w:rPr>
        <w:t xml:space="preserve">gerenciamento e acompanhamento técnico em sistemas de gestão pública do grupo contábil, administrativo e </w:t>
      </w:r>
      <w:r>
        <w:rPr>
          <w:b/>
          <w:bCs/>
        </w:rPr>
        <w:t>RH</w:t>
      </w:r>
      <w:r w:rsidRPr="00B90144">
        <w:rPr>
          <w:b/>
          <w:bCs/>
        </w:rPr>
        <w:t xml:space="preserve"> com a devida prestação de contas nos sistemas informatizados do CIM-AMFRI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Default="00A358ED" w:rsidP="007C6D7D">
      <w:pPr>
        <w:spacing w:after="0" w:line="288" w:lineRule="auto"/>
        <w:contextualSpacing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6532"/>
      </w:tblGrid>
      <w:tr w:rsidR="00A358ED" w:rsidRPr="00926906" w14:paraId="5AA19CEC" w14:textId="77777777" w:rsidTr="00630750">
        <w:trPr>
          <w:trHeight w:val="397"/>
          <w:jc w:val="center"/>
        </w:trPr>
        <w:tc>
          <w:tcPr>
            <w:tcW w:w="2104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0B962F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ETAPAS</w:t>
            </w:r>
          </w:p>
        </w:tc>
        <w:tc>
          <w:tcPr>
            <w:tcW w:w="65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28D87DB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AÇÕES</w:t>
            </w:r>
          </w:p>
        </w:tc>
      </w:tr>
      <w:tr w:rsidR="00975B26" w:rsidRPr="00926906" w14:paraId="61D299DE" w14:textId="77777777" w:rsidTr="00630750">
        <w:trPr>
          <w:trHeight w:val="397"/>
          <w:jc w:val="center"/>
        </w:trPr>
        <w:tc>
          <w:tcPr>
            <w:tcW w:w="2104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368756" w14:textId="41425BB2" w:rsidR="00876674" w:rsidRDefault="00975B26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1. </w:t>
            </w:r>
            <w:r w:rsidR="00876674">
              <w:rPr>
                <w:rFonts w:eastAsia="Arial" w:cstheme="minorHAnsi"/>
                <w:b/>
                <w:sz w:val="18"/>
                <w:szCs w:val="18"/>
              </w:rPr>
              <w:t xml:space="preserve">Assessoria para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 xml:space="preserve">Gerenciamento </w:t>
            </w:r>
            <w:r w:rsidR="00876674">
              <w:rPr>
                <w:rFonts w:eastAsia="Arial" w:cstheme="minorHAnsi"/>
                <w:b/>
                <w:sz w:val="18"/>
                <w:szCs w:val="18"/>
              </w:rPr>
              <w:t xml:space="preserve">do </w:t>
            </w:r>
          </w:p>
          <w:p w14:paraId="554B71F8" w14:textId="60AF254B" w:rsidR="00975B26" w:rsidRPr="00926906" w:rsidRDefault="00975B26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w w:val="90"/>
                <w:sz w:val="18"/>
                <w:szCs w:val="18"/>
              </w:rPr>
            </w:pPr>
            <w:r w:rsidRPr="00B90144">
              <w:rPr>
                <w:rFonts w:eastAsia="Arial" w:cstheme="minorHAnsi"/>
                <w:b/>
                <w:sz w:val="18"/>
                <w:szCs w:val="18"/>
              </w:rPr>
              <w:t>Sistema</w:t>
            </w:r>
            <w:r w:rsidR="00876674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>de Compras</w:t>
            </w:r>
          </w:p>
        </w:tc>
        <w:tc>
          <w:tcPr>
            <w:tcW w:w="65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55910A42" w14:textId="4027C134" w:rsidR="009C1CEA" w:rsidRPr="009C1CEA" w:rsidRDefault="009C1CEA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9C1CEA">
              <w:rPr>
                <w:rFonts w:eastAsia="Arial" w:cstheme="minorHAnsi"/>
                <w:bCs/>
                <w:sz w:val="18"/>
                <w:szCs w:val="18"/>
              </w:rPr>
              <w:t>Participar e auxiliar nos processos de compras (integração dos sistemas de compras e contábil, emissão de relatórios, licitações)</w:t>
            </w:r>
            <w:r w:rsidR="00182BB3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38436091" w14:textId="26105270" w:rsidR="009C1CEA" w:rsidRPr="009C1CEA" w:rsidRDefault="009C1CEA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9C1CEA">
              <w:rPr>
                <w:rFonts w:eastAsia="Arial" w:cstheme="minorHAnsi"/>
                <w:bCs/>
                <w:sz w:val="18"/>
                <w:szCs w:val="18"/>
              </w:rPr>
              <w:t>Acompanhar, monitorar e resolver questões do sistema de aplicação junto ao portal de transparência mantendo a solução com a devida configuração em pleno funcionamento</w:t>
            </w:r>
            <w:r w:rsidR="00182BB3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0BDC654F" w14:textId="411A4335" w:rsidR="009C1CEA" w:rsidRPr="009C1CEA" w:rsidRDefault="003F3952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Efetuar o</w:t>
            </w:r>
            <w:r w:rsidR="009C1CEA" w:rsidRPr="009C1CEA">
              <w:rPr>
                <w:rFonts w:eastAsia="Arial" w:cstheme="minorHAnsi"/>
                <w:bCs/>
                <w:sz w:val="18"/>
                <w:szCs w:val="18"/>
              </w:rPr>
              <w:t xml:space="preserve"> registro de informações em sistema de compras, licitações e contratos</w:t>
            </w:r>
            <w:r w:rsidR="00182BB3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212737E1" w14:textId="7FAF4D8F" w:rsidR="009C1CEA" w:rsidRPr="009C1CEA" w:rsidRDefault="009C1CEA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9C1CEA">
              <w:rPr>
                <w:rFonts w:eastAsia="Arial" w:cstheme="minorHAnsi"/>
                <w:bCs/>
                <w:sz w:val="18"/>
                <w:szCs w:val="18"/>
              </w:rPr>
              <w:t>Acompanhar e realizar o devido cadastro de processos na modalidade Pregão Eletrônico em sua devida plataforma de sistema</w:t>
            </w:r>
            <w:r w:rsidR="00182BB3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789784B5" w14:textId="6D438DDB" w:rsidR="009C1CEA" w:rsidRPr="009C1CEA" w:rsidRDefault="009C1CEA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9C1CEA">
              <w:rPr>
                <w:rFonts w:eastAsia="Arial" w:cstheme="minorHAnsi"/>
                <w:bCs/>
                <w:sz w:val="18"/>
                <w:szCs w:val="18"/>
              </w:rPr>
              <w:t>Cadastrar os processos de compras no sistema informatizado do CIM-AMFRI com geração de autorizações de fornecimento e empenho</w:t>
            </w:r>
            <w:r w:rsidR="00182BB3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67CB0904" w14:textId="5DE860DE" w:rsidR="009C1CEA" w:rsidRPr="009C1CEA" w:rsidRDefault="009C1CEA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9C1CEA">
              <w:rPr>
                <w:rFonts w:eastAsia="Arial" w:cstheme="minorHAnsi"/>
                <w:bCs/>
                <w:sz w:val="18"/>
                <w:szCs w:val="18"/>
              </w:rPr>
              <w:t>Elaborar pesquisas de preços no mercado</w:t>
            </w:r>
            <w:r w:rsidR="00182BB3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006BB3AD" w14:textId="59EB6270" w:rsidR="009C1CEA" w:rsidRDefault="009C1CEA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9C1CEA">
              <w:rPr>
                <w:rFonts w:eastAsia="Arial" w:cstheme="minorHAnsi"/>
                <w:bCs/>
                <w:sz w:val="18"/>
                <w:szCs w:val="18"/>
              </w:rPr>
              <w:t>Acompanhar o site da transparência do CIM-AMFRI nas suas publicações</w:t>
            </w:r>
            <w:r w:rsidR="00182BB3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08045E7E" w14:textId="77777777" w:rsidR="00182BB3" w:rsidRDefault="00182BB3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Gerar e validar todas as informações e resolver a inconsistências no E-sfinge, relativas à compras quando houver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3C19CC9E" w14:textId="77777777" w:rsidR="00182BB3" w:rsidRDefault="00182BB3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Cadastrar os processos de compras no sistema informatizado do CIM-AMFRI com geração de autorizações de fornecimento e empenho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3CE9403B" w14:textId="5287C262" w:rsidR="00182BB3" w:rsidRDefault="00182BB3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e prestar consultoria aos processos licitatórios no sistema de compras do CIM-AMFRI</w:t>
            </w:r>
            <w:r>
              <w:rPr>
                <w:rFonts w:eastAsia="Arial" w:cstheme="minorHAnsi"/>
                <w:bCs/>
                <w:sz w:val="18"/>
                <w:szCs w:val="18"/>
              </w:rPr>
              <w:t>; e</w:t>
            </w:r>
          </w:p>
          <w:p w14:paraId="4A600CA9" w14:textId="3D38FE7F" w:rsidR="00182BB3" w:rsidRPr="00182BB3" w:rsidRDefault="00182BB3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Desenvolver e importar novos relatórios para o sistema de compras</w:t>
            </w:r>
            <w:r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</w:tc>
      </w:tr>
      <w:tr w:rsidR="00876674" w:rsidRPr="00926906" w14:paraId="5E43A212" w14:textId="77777777" w:rsidTr="00870931">
        <w:trPr>
          <w:trHeight w:val="397"/>
          <w:jc w:val="center"/>
        </w:trPr>
        <w:tc>
          <w:tcPr>
            <w:tcW w:w="2104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29A705" w14:textId="77777777" w:rsidR="00876674" w:rsidRDefault="00876674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2. Assessoria para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 xml:space="preserve">Gerenciamento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do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 xml:space="preserve">Sistema </w:t>
            </w:r>
            <w:r>
              <w:rPr>
                <w:rFonts w:eastAsia="Arial" w:cstheme="minorHAnsi"/>
                <w:b/>
                <w:sz w:val="18"/>
                <w:szCs w:val="18"/>
              </w:rPr>
              <w:t>Contábil</w:t>
            </w:r>
          </w:p>
        </w:tc>
        <w:tc>
          <w:tcPr>
            <w:tcW w:w="65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0F94303" w14:textId="77777777" w:rsidR="00876674" w:rsidRPr="00182BB3" w:rsidRDefault="00876674" w:rsidP="007C6D7D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758C758C" w14:textId="77777777" w:rsidR="00876674" w:rsidRPr="00182BB3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Prestar apoio técnico aos relatórios, balancetes e balanços do grupo contábil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28866330" w14:textId="77777777" w:rsidR="00876674" w:rsidRPr="00182BB3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o gerenciamento dos registros da movimentação financeira, orçamentário e contábil nos sistemas de gestão do CIM-AMFRI informações em sistema de gestão do grupo contábil além de toda a contabilização em sistema contábil do CIM-AMFRI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4697FA09" w14:textId="77777777" w:rsidR="00876674" w:rsidRPr="00182BB3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Prestar apoio técnico as inconsistências de encerramento mensal e anual no Sistema Informatizado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4F5FFDB1" w14:textId="43D2C182" w:rsidR="00876674" w:rsidRPr="00182BB3" w:rsidRDefault="003F3952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Prestar a</w:t>
            </w:r>
            <w:r w:rsidR="00876674" w:rsidRPr="00182BB3">
              <w:rPr>
                <w:rFonts w:eastAsia="Arial" w:cstheme="minorHAnsi"/>
                <w:bCs/>
                <w:sz w:val="18"/>
                <w:szCs w:val="18"/>
              </w:rPr>
              <w:t>poio técnico</w:t>
            </w:r>
            <w:r>
              <w:rPr>
                <w:rFonts w:eastAsia="Arial" w:cstheme="minorHAnsi"/>
                <w:bCs/>
                <w:sz w:val="18"/>
                <w:szCs w:val="18"/>
              </w:rPr>
              <w:t xml:space="preserve"> na</w:t>
            </w:r>
            <w:r w:rsidR="00876674" w:rsidRPr="00182BB3">
              <w:rPr>
                <w:rFonts w:eastAsia="Arial" w:cstheme="minorHAnsi"/>
                <w:bCs/>
                <w:sz w:val="18"/>
                <w:szCs w:val="18"/>
              </w:rPr>
              <w:t xml:space="preserve"> elaboração, alteração e manutenção da Lei de Orçamentária Anual com Anexos da Lei 4.320/64 e demais anexos constituídos</w:t>
            </w:r>
            <w:r w:rsidR="00876674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309441A6" w14:textId="77777777" w:rsidR="00876674" w:rsidRPr="00182BB3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e auxiliar o CIM-AMFRI na compreensão e execução orçamentária e financeira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42A748AF" w14:textId="77777777" w:rsidR="00876674" w:rsidRPr="00182BB3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lastRenderedPageBreak/>
              <w:t>Participar com a área jurídica na solução de problemas jurídico/contábeis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269C3113" w14:textId="7777777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Gerar e validar todas as informações e resolver a inconsistências no E-sfinge, relativas à contabilidade quando houver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51137507" w14:textId="7777777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Acompanhar, auxiliar e executar o encerramento mensal e anual no sistema informatizado com conferência dos balanços, balancetes antes do envio ao tribunal de contas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727D6030" w14:textId="7777777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a Abertura do exercício no sistema informatizado assim que o orçamento for aprovado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4EDFF8B0" w14:textId="7777777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a elaboração e publicação das prestações de contas mensais para os municípios consorciados;</w:t>
            </w:r>
          </w:p>
          <w:p w14:paraId="01545D78" w14:textId="6B7C060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Participar e acompanhar as respostas de diligências do TCE-SC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1C927CCB" w14:textId="7777777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a elaboração e apresentação dos relatórios gerenciais bimestralmente para apreciação no Conselho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3ACA3411" w14:textId="7777777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a emissão dos anexos mensais e anuais para encadernação conforme modelos previstos em lei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7A3C379E" w14:textId="77777777" w:rsid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182BB3">
              <w:rPr>
                <w:rFonts w:eastAsia="Arial" w:cstheme="minorHAnsi"/>
                <w:bCs/>
                <w:sz w:val="18"/>
                <w:szCs w:val="18"/>
              </w:rPr>
              <w:t>Acompanhar na elaboração e apresentação da prestação de contas anual na assembleia de prefeitos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732E9CD6" w14:textId="77777777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Desenvolver e importar novos relatórios para o sistema de contabilidade</w:t>
            </w:r>
            <w:r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</w:tc>
      </w:tr>
      <w:tr w:rsidR="00182BB3" w:rsidRPr="00926906" w14:paraId="471BE0CB" w14:textId="77777777" w:rsidTr="00630750">
        <w:trPr>
          <w:trHeight w:val="397"/>
          <w:jc w:val="center"/>
        </w:trPr>
        <w:tc>
          <w:tcPr>
            <w:tcW w:w="2104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70E76C" w14:textId="1A1D29C1" w:rsidR="00182BB3" w:rsidRDefault="00876674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lastRenderedPageBreak/>
              <w:t xml:space="preserve">3. Assessoria para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 xml:space="preserve">Gerenciamento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do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 xml:space="preserve">Sistema </w:t>
            </w:r>
            <w:r>
              <w:rPr>
                <w:rFonts w:eastAsia="Arial" w:cstheme="minorHAnsi"/>
                <w:b/>
                <w:sz w:val="18"/>
                <w:szCs w:val="18"/>
              </w:rPr>
              <w:t>de RH</w:t>
            </w:r>
          </w:p>
        </w:tc>
        <w:tc>
          <w:tcPr>
            <w:tcW w:w="65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45ADC40" w14:textId="77777777" w:rsidR="00182BB3" w:rsidRPr="00182BB3" w:rsidRDefault="00182BB3" w:rsidP="007C6D7D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7D19E0F7" w14:textId="58CFCBFC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Receber e analisar as documentações apresentad</w:t>
            </w:r>
            <w:r w:rsidR="002335BC">
              <w:rPr>
                <w:rFonts w:eastAsia="Arial" w:cstheme="minorHAnsi"/>
                <w:bCs/>
                <w:sz w:val="18"/>
                <w:szCs w:val="18"/>
              </w:rPr>
              <w:t>as</w:t>
            </w:r>
            <w:r w:rsidRPr="00876674">
              <w:rPr>
                <w:rFonts w:eastAsia="Arial" w:cstheme="minorHAnsi"/>
                <w:bCs/>
                <w:sz w:val="18"/>
                <w:szCs w:val="18"/>
              </w:rPr>
              <w:t xml:space="preserve"> para cadastro de funcionários;</w:t>
            </w:r>
          </w:p>
          <w:p w14:paraId="64D85FE2" w14:textId="34122A5E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Cadastrar funcionários com todas as informações funcionais, cargo, função, remuneração, dados pessoais completos no sistema informatizado do CIM-AMFRI.</w:t>
            </w:r>
          </w:p>
          <w:p w14:paraId="5BE3608E" w14:textId="130E3BDB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Lançar, calcular e conferir folha mensal de pagamento com todos os proventos e os descontos como: contribuição sindical, seguro de vida, empréstimos consignados no sistema informatizado do CIM-AMFRI;</w:t>
            </w:r>
          </w:p>
          <w:p w14:paraId="3CFC004D" w14:textId="39082F55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Calcular e conferir a folha do 13º Salário no sistema informatizado do CIM-AMFRI;</w:t>
            </w:r>
          </w:p>
          <w:p w14:paraId="2AA46636" w14:textId="3C42A2F0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Gerar e validar todas as informações e resolver a inconsistências no E-sfinge, RAIS, DIRF e SEFIP, com emissão dos comprovantes rendimentos de imposto retido na fonte de todos os funcionários;</w:t>
            </w:r>
          </w:p>
          <w:p w14:paraId="7FF1F018" w14:textId="1C2AECAA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Elaborar mensalmente relatório da folha de pagamento, empréstimos consignados, seguro de vida, encargos sociais no sistema informatizado do CIM-AMFRI;</w:t>
            </w:r>
          </w:p>
          <w:p w14:paraId="7F94B7AF" w14:textId="05F024B2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Atualizar os indicadores econômicos, legislações Federais e Municipais no sistema informatizado do CIM-AMFRI;</w:t>
            </w:r>
          </w:p>
          <w:p w14:paraId="0757B53B" w14:textId="53015DA7" w:rsidR="00876674" w:rsidRPr="00876674" w:rsidRDefault="003F3952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Promover a c</w:t>
            </w:r>
            <w:r w:rsidR="00876674" w:rsidRPr="00876674">
              <w:rPr>
                <w:rFonts w:eastAsia="Arial" w:cstheme="minorHAnsi"/>
                <w:bCs/>
                <w:sz w:val="18"/>
                <w:szCs w:val="18"/>
              </w:rPr>
              <w:t>onfiguração dos pagamentos e cadastros de forma integrado dos sistemas de Folha de Pagamento x Contabilidade;</w:t>
            </w:r>
          </w:p>
          <w:p w14:paraId="4AD04743" w14:textId="4060D423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Emitir os relatórios mensais da folha de pagamento no sistema informatizado do CIM-AMFRI para arquivamento;</w:t>
            </w:r>
          </w:p>
          <w:p w14:paraId="334AC356" w14:textId="326E967F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Emitir os relatórios mensais no sistema informatizado do CIM-AMFRI para empenho das despesas com pessoal;</w:t>
            </w:r>
          </w:p>
          <w:p w14:paraId="56348698" w14:textId="6C207DBA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Manter as informações de cadastro atualizado junto ao portal da transparência;</w:t>
            </w:r>
          </w:p>
          <w:p w14:paraId="381C5295" w14:textId="57CD0B0B" w:rsidR="00876674" w:rsidRPr="00876674" w:rsidRDefault="00876674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Gerar arquivo da folha de pagamento para crédito em conta corrente em Banco no sistema informatizado do CIM-AMFRI;</w:t>
            </w:r>
          </w:p>
          <w:p w14:paraId="156B0E9A" w14:textId="6E2DA4AF" w:rsidR="00182BB3" w:rsidRPr="003F3952" w:rsidRDefault="00876674" w:rsidP="003F3952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876674">
              <w:rPr>
                <w:rFonts w:eastAsia="Arial" w:cstheme="minorHAnsi"/>
                <w:bCs/>
                <w:sz w:val="18"/>
                <w:szCs w:val="18"/>
              </w:rPr>
              <w:t>Desenvolver e importar novos relatórios para os sistemas de contabilidade e compras.</w:t>
            </w:r>
          </w:p>
        </w:tc>
      </w:tr>
    </w:tbl>
    <w:p w14:paraId="3DA83DA7" w14:textId="77777777" w:rsidR="00606DB1" w:rsidRDefault="00606DB1" w:rsidP="007C6D7D">
      <w:pPr>
        <w:spacing w:after="0" w:line="288" w:lineRule="auto"/>
        <w:contextualSpacing/>
      </w:pPr>
    </w:p>
    <w:p w14:paraId="59FB265A" w14:textId="77777777" w:rsidR="003F3952" w:rsidRDefault="003F3952" w:rsidP="007C6D7D">
      <w:pPr>
        <w:spacing w:after="0" w:line="288" w:lineRule="auto"/>
        <w:contextualSpacing/>
        <w:jc w:val="both"/>
      </w:pPr>
    </w:p>
    <w:p w14:paraId="7A51F499" w14:textId="6813C861" w:rsidR="00606DB1" w:rsidRDefault="00606DB1" w:rsidP="003F3952">
      <w:pPr>
        <w:spacing w:after="0" w:line="288" w:lineRule="auto"/>
        <w:ind w:firstLine="851"/>
        <w:contextualSpacing/>
        <w:jc w:val="both"/>
      </w:pPr>
      <w:r>
        <w:t>Os interessados deverão indicar em suas propostas o responsável técnico e o número do registro no Conselho Regional de Contabilidade – CRC-SC.</w:t>
      </w:r>
    </w:p>
    <w:p w14:paraId="0BE8A6E2" w14:textId="77777777" w:rsidR="007C6D7D" w:rsidRDefault="007C6D7D" w:rsidP="003F3952">
      <w:pPr>
        <w:spacing w:after="0" w:line="288" w:lineRule="auto"/>
        <w:ind w:firstLine="851"/>
        <w:contextualSpacing/>
        <w:jc w:val="both"/>
      </w:pPr>
    </w:p>
    <w:p w14:paraId="6B79DAD1" w14:textId="7756EAF7" w:rsidR="00606DB1" w:rsidRDefault="00606DB1" w:rsidP="003F3952">
      <w:pPr>
        <w:spacing w:after="0" w:line="288" w:lineRule="auto"/>
        <w:ind w:firstLine="851"/>
        <w:contextualSpacing/>
        <w:jc w:val="both"/>
      </w:pPr>
      <w:r>
        <w:lastRenderedPageBreak/>
        <w:t>As atividades deverão ser exercidas presencialmente na sede do CIM-AMFRI com carga horária mínima de 16h semanais distribuídas durante o expediente do consórcio.</w:t>
      </w:r>
    </w:p>
    <w:p w14:paraId="5C80EEC7" w14:textId="77777777" w:rsidR="007C6D7D" w:rsidRDefault="007C6D7D" w:rsidP="003F3952">
      <w:pPr>
        <w:spacing w:after="0" w:line="288" w:lineRule="auto"/>
        <w:ind w:firstLine="851"/>
        <w:contextualSpacing/>
        <w:jc w:val="both"/>
      </w:pPr>
    </w:p>
    <w:p w14:paraId="352195FB" w14:textId="59553B9B" w:rsidR="00606DB1" w:rsidRDefault="00606DB1" w:rsidP="003F3952">
      <w:pPr>
        <w:spacing w:after="0" w:line="288" w:lineRule="auto"/>
        <w:ind w:firstLine="851"/>
        <w:contextualSpacing/>
        <w:jc w:val="both"/>
      </w:pPr>
      <w:r>
        <w:t>O prazo da execução dos serviços será de 12 (doze) meses.</w:t>
      </w:r>
    </w:p>
    <w:p w14:paraId="35DC980E" w14:textId="77777777" w:rsidR="007C6D7D" w:rsidRDefault="007C6D7D" w:rsidP="003F3952">
      <w:pPr>
        <w:spacing w:after="0" w:line="288" w:lineRule="auto"/>
        <w:ind w:firstLine="851"/>
        <w:contextualSpacing/>
        <w:jc w:val="both"/>
      </w:pPr>
    </w:p>
    <w:p w14:paraId="156D30E7" w14:textId="11FBCB02" w:rsidR="007C6D7D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As propostas deverão ser encaminhadas para o e-mail: </w:t>
      </w:r>
      <w:r w:rsidR="002335BC">
        <w:t>direx</w:t>
      </w:r>
      <w:r w:rsidRPr="004B6E73">
        <w:t>@cim-amfri.sc.gov.br</w:t>
      </w:r>
      <w:r>
        <w:t>, até o dia 17/0</w:t>
      </w:r>
      <w:r w:rsidR="00E65468">
        <w:t>9</w:t>
      </w:r>
      <w:r>
        <w:t xml:space="preserve">/2020, de acordo com modelo </w:t>
      </w:r>
      <w:r w:rsidR="007C6D7D">
        <w:t>apresentado no ANEXO I.</w:t>
      </w:r>
    </w:p>
    <w:p w14:paraId="3D2C75B1" w14:textId="77777777" w:rsidR="007C6D7D" w:rsidRDefault="007C6D7D" w:rsidP="007C6D7D">
      <w:pPr>
        <w:spacing w:after="0" w:line="288" w:lineRule="auto"/>
        <w:contextualSpacing/>
        <w:jc w:val="both"/>
      </w:pPr>
    </w:p>
    <w:p w14:paraId="32E1FB35" w14:textId="77777777" w:rsidR="007C6D7D" w:rsidRDefault="007C6D7D" w:rsidP="007C6D7D">
      <w:pPr>
        <w:spacing w:after="0" w:line="288" w:lineRule="auto"/>
        <w:contextualSpacing/>
        <w:jc w:val="right"/>
      </w:pPr>
    </w:p>
    <w:p w14:paraId="73588E92" w14:textId="6AC21664" w:rsidR="007C6D7D" w:rsidRDefault="007C6D7D" w:rsidP="007C6D7D">
      <w:pPr>
        <w:spacing w:after="0" w:line="288" w:lineRule="auto"/>
        <w:contextualSpacing/>
        <w:jc w:val="right"/>
      </w:pPr>
      <w:r>
        <w:t>Itajaí, 14 de setembro de 2020.</w:t>
      </w:r>
    </w:p>
    <w:p w14:paraId="132A62AD" w14:textId="77777777" w:rsidR="007C6D7D" w:rsidRDefault="007C6D7D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78E238B5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19327F37" w14:textId="77777777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t>ANEXO I – PROPOSTA DE PREÇOS</w:t>
      </w:r>
    </w:p>
    <w:p w14:paraId="41471F3F" w14:textId="77777777" w:rsidR="00682A7E" w:rsidRP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36"/>
        <w:gridCol w:w="2007"/>
        <w:gridCol w:w="993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521008D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CBF5CA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RESPONSÁVEL TÉCNICO: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A12B8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10653C41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401CC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INSCRIÇÃO NO CRC-SC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9D94E1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AA7FD1">
        <w:trPr>
          <w:trHeight w:val="397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AÇÕES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SERVIÇOS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AA7FD1">
        <w:trPr>
          <w:trHeight w:val="397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682A7E" w:rsidRPr="003C6694" w14:paraId="0EEB5B2D" w14:textId="77777777" w:rsidTr="00AA7FD1">
        <w:trPr>
          <w:trHeight w:val="397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369C8DA1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Assessoria para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 xml:space="preserve">Gerenciamento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do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>Sistema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B90144">
              <w:rPr>
                <w:rFonts w:eastAsia="Arial" w:cstheme="minorHAnsi"/>
                <w:b/>
                <w:sz w:val="18"/>
                <w:szCs w:val="18"/>
              </w:rPr>
              <w:t>de Compras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2C92310B" w14:textId="77777777" w:rsidTr="00AA7FD1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615870A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32EA859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2F2AB8">
              <w:rPr>
                <w:rFonts w:eastAsia="Arial" w:cstheme="minorHAnsi"/>
                <w:b/>
                <w:sz w:val="18"/>
                <w:szCs w:val="18"/>
              </w:rPr>
              <w:t xml:space="preserve">Assessoria para Gerenciamento do Sistema </w:t>
            </w:r>
            <w:r>
              <w:rPr>
                <w:rFonts w:eastAsia="Arial" w:cstheme="minorHAnsi"/>
                <w:b/>
                <w:sz w:val="18"/>
                <w:szCs w:val="18"/>
              </w:rPr>
              <w:t>Contábil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A13CE8A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4E7786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F039D7B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18BD2DC9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6D02C380" w14:textId="77777777" w:rsidTr="00AA7FD1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F702F3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0DD1128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2F2AB8">
              <w:rPr>
                <w:rFonts w:eastAsia="Arial" w:cstheme="minorHAnsi"/>
                <w:b/>
                <w:sz w:val="18"/>
                <w:szCs w:val="18"/>
              </w:rPr>
              <w:t xml:space="preserve">Assessoria para Gerenciamento do Sistema de </w:t>
            </w:r>
            <w:r>
              <w:rPr>
                <w:rFonts w:eastAsia="Arial" w:cstheme="minorHAnsi"/>
                <w:b/>
                <w:sz w:val="18"/>
                <w:szCs w:val="18"/>
              </w:rPr>
              <w:t>RH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28BF7C29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50B0B8F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3C73E8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2DB7534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XXXXXXX,XX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035D60C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física); e</w:t>
            </w:r>
          </w:p>
          <w:p w14:paraId="4C6154C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prestação de serviços será realizada de forma presencial com carga horária mínima semanal de 16 (dezesseis) horas.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682A7E" w:rsidRPr="003C6694" w14:paraId="1DEA1ED4" w14:textId="77777777" w:rsidTr="00AA7FD1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XXXX, XX de setembro de 2020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 e Insc. </w:t>
            </w:r>
            <w:r>
              <w:rPr>
                <w:rFonts w:eastAsia="Arial" w:cstheme="minorHAnsi"/>
                <w:bCs/>
                <w:sz w:val="18"/>
                <w:szCs w:val="18"/>
              </w:rPr>
              <w:t>no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CR</w:t>
            </w:r>
            <w:r>
              <w:rPr>
                <w:rFonts w:eastAsia="Arial" w:cstheme="minorHAnsi"/>
                <w:bCs/>
                <w:sz w:val="18"/>
                <w:szCs w:val="18"/>
              </w:rPr>
              <w:t>C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>-SC)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5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A300B"/>
    <w:rsid w:val="001048AD"/>
    <w:rsid w:val="00163764"/>
    <w:rsid w:val="00182BB3"/>
    <w:rsid w:val="002335BC"/>
    <w:rsid w:val="003C6694"/>
    <w:rsid w:val="003F3952"/>
    <w:rsid w:val="00475774"/>
    <w:rsid w:val="004B6E73"/>
    <w:rsid w:val="00555139"/>
    <w:rsid w:val="00606DB1"/>
    <w:rsid w:val="00627CD5"/>
    <w:rsid w:val="00630750"/>
    <w:rsid w:val="00644441"/>
    <w:rsid w:val="00682A7E"/>
    <w:rsid w:val="006A0942"/>
    <w:rsid w:val="006B074D"/>
    <w:rsid w:val="00706901"/>
    <w:rsid w:val="007A15A7"/>
    <w:rsid w:val="007C6D7D"/>
    <w:rsid w:val="00810A4C"/>
    <w:rsid w:val="00827555"/>
    <w:rsid w:val="00876674"/>
    <w:rsid w:val="00926906"/>
    <w:rsid w:val="00975B26"/>
    <w:rsid w:val="009C1CEA"/>
    <w:rsid w:val="009D22C6"/>
    <w:rsid w:val="00A358ED"/>
    <w:rsid w:val="00A455DE"/>
    <w:rsid w:val="00A70C7D"/>
    <w:rsid w:val="00A74951"/>
    <w:rsid w:val="00AB7B5B"/>
    <w:rsid w:val="00AC59F9"/>
    <w:rsid w:val="00AE5A5D"/>
    <w:rsid w:val="00AF0CCF"/>
    <w:rsid w:val="00B735FC"/>
    <w:rsid w:val="00B90144"/>
    <w:rsid w:val="00DB12E0"/>
    <w:rsid w:val="00DC3D0C"/>
    <w:rsid w:val="00E65468"/>
    <w:rsid w:val="00E810BA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Cim Amfri</cp:lastModifiedBy>
  <cp:revision>17</cp:revision>
  <cp:lastPrinted>2020-09-14T13:32:00Z</cp:lastPrinted>
  <dcterms:created xsi:type="dcterms:W3CDTF">2020-09-10T18:36:00Z</dcterms:created>
  <dcterms:modified xsi:type="dcterms:W3CDTF">2020-09-15T19:39:00Z</dcterms:modified>
</cp:coreProperties>
</file>